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4" w:rsidRDefault="009B39FC">
      <w:pPr>
        <w:pStyle w:val="berschrift1"/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Die doppelte Realität deutscher Friedenspolitik</w:t>
      </w:r>
    </w:p>
    <w:p w:rsidR="003D6504" w:rsidRDefault="009B39FC">
      <w:pPr>
        <w:pStyle w:val="berschrift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Warum Glaubwürdigkeit mehr verlangt als gute Projekte</w:t>
      </w:r>
    </w:p>
    <w:p w:rsidR="003D6504" w:rsidRDefault="009B39FC">
      <w:pPr>
        <w:pStyle w:val="Textbody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</w:rPr>
        <w:t>Kiflemariam Gebre Wold</w:t>
      </w:r>
      <w:r w:rsidRPr="006A7B1A">
        <w:rPr>
          <w:rStyle w:val="StrongEmphasis"/>
          <w:rFonts w:ascii="Calibri" w:hAnsi="Calibri"/>
          <w:b w:val="0"/>
          <w:bCs w:val="0"/>
          <w:vertAlign w:val="superscript"/>
        </w:rPr>
        <w:footnoteReference w:id="1"/>
      </w:r>
      <w:r w:rsidR="00EE6E8C">
        <w:rPr>
          <w:rStyle w:val="StrongEmphasis"/>
          <w:rFonts w:ascii="Calibri" w:hAnsi="Calibri"/>
          <w:b w:val="0"/>
          <w:bCs w:val="0"/>
        </w:rPr>
        <w:t xml:space="preserve"> 2026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Deutschland versteht sich als Friedensakteur – und kann dieses Selbstbild durchaus belegen.</w:t>
      </w:r>
    </w:p>
    <w:p w:rsidR="003D6504" w:rsidRDefault="009B39FC" w:rsidP="00EE6E8C">
      <w:pPr>
        <w:pStyle w:val="Textbody"/>
        <w:spacing w:line="240" w:lineRule="auto"/>
        <w:rPr>
          <w:rFonts w:hint="eastAsia"/>
        </w:rPr>
      </w:pPr>
      <w:r>
        <w:rPr>
          <w:rFonts w:ascii="Calibri" w:hAnsi="Calibri"/>
        </w:rPr>
        <w:t xml:space="preserve">Der </w:t>
      </w:r>
      <w:r>
        <w:rPr>
          <w:rStyle w:val="StrongEmphasis"/>
          <w:rFonts w:ascii="Calibri" w:hAnsi="Calibri"/>
          <w:b w:val="0"/>
          <w:bCs w:val="0"/>
        </w:rPr>
        <w:t>Zivile Friedensdienst (</w:t>
      </w:r>
      <w:hyperlink r:id="rId8" w:history="1">
        <w:r>
          <w:rPr>
            <w:rStyle w:val="StrongEmphasis"/>
            <w:rFonts w:ascii="Calibri" w:hAnsi="Calibri"/>
            <w:b w:val="0"/>
            <w:bCs w:val="0"/>
          </w:rPr>
          <w:t>ZFD</w:t>
        </w:r>
      </w:hyperlink>
      <w:r>
        <w:rPr>
          <w:rStyle w:val="StrongEmphasis"/>
          <w:rFonts w:ascii="Calibri" w:hAnsi="Calibri"/>
          <w:b w:val="0"/>
          <w:bCs w:val="0"/>
        </w:rPr>
        <w:t>)</w:t>
      </w:r>
      <w:r>
        <w:rPr>
          <w:rFonts w:ascii="Calibri" w:hAnsi="Calibri"/>
        </w:rPr>
        <w:t xml:space="preserve"> steht exemplarisch für eine Außenpolitik, die auf Dialog, Vertrauen und lokale Partnerschaft setzt. Fachkräfte arbeiten in konfliktsensiblen Kontexten, stärken Institutionen, begleiten Versöhnungsprozesse und fördern nachhaltige Konflikttransformation</w:t>
      </w:r>
      <w:r>
        <w:rPr>
          <w:rFonts w:ascii="Calibri" w:hAnsi="Calibri"/>
        </w:rPr>
        <w:t>. Organisationen wie Pro Peace zeigen: Diese Arbeit ist professionell, wirksam und international anerkannt.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Doch diese Erfolgsgeschichte steht nicht für sich allein.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Sie existiert neben einer zweiten Realität, die deutlich weniger sichtbar ist – aber polit</w:t>
      </w:r>
      <w:r>
        <w:rPr>
          <w:rFonts w:ascii="Calibri" w:hAnsi="Calibri"/>
        </w:rPr>
        <w:t>isch ebenso prägend.</w:t>
      </w:r>
    </w:p>
    <w:p w:rsidR="003D6504" w:rsidRDefault="003D6504" w:rsidP="00EE6E8C">
      <w:pPr>
        <w:pStyle w:val="HorizontalLine"/>
        <w:rPr>
          <w:rFonts w:ascii="Calibri" w:hAnsi="Calibri"/>
          <w:sz w:val="24"/>
          <w:szCs w:val="24"/>
        </w:rPr>
      </w:pPr>
    </w:p>
    <w:p w:rsidR="003D6504" w:rsidRDefault="009B39FC" w:rsidP="00EE6E8C">
      <w:pPr>
        <w:pStyle w:val="berschrift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Politische Spielräume statt klarer Grenzen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Offiziell verfolgt Deutschland eine restriktive Rüstungsexportpolitik. Die entsprechenden </w:t>
      </w:r>
      <w:hyperlink r:id="rId9" w:history="1">
        <w:r>
          <w:rPr>
            <w:rFonts w:ascii="Calibri" w:hAnsi="Calibri"/>
          </w:rPr>
          <w:t>politischen Grundsätze</w:t>
        </w:r>
      </w:hyperlink>
      <w:r>
        <w:rPr>
          <w:rFonts w:ascii="Calibri" w:hAnsi="Calibri"/>
        </w:rPr>
        <w:t xml:space="preserve"> formulieren eindeutig: Lieferungen in Spannungsgebiete sollen „grundsätzlich“ nicht erfolgen.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Doch genau dieses „grundsätzlich“ </w:t>
      </w:r>
      <w:r>
        <w:rPr>
          <w:rFonts w:ascii="Calibri" w:hAnsi="Calibri"/>
        </w:rPr>
        <w:t>ist der entscheidende Begriff.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Es handelt sich nicht um ein Verbot, sondern um eine politische Öffnungsklausel.</w:t>
      </w:r>
    </w:p>
    <w:p w:rsidR="003D6504" w:rsidRDefault="009B39FC" w:rsidP="00EE6E8C">
      <w:pPr>
        <w:pStyle w:val="Textbody"/>
        <w:spacing w:line="240" w:lineRule="auto"/>
        <w:rPr>
          <w:rFonts w:hint="eastAsia"/>
        </w:rPr>
      </w:pPr>
      <w:r>
        <w:rPr>
          <w:rFonts w:ascii="Calibri" w:hAnsi="Calibri"/>
        </w:rPr>
        <w:t xml:space="preserve">Historische Analysen – etwa durch den Historiker </w:t>
      </w:r>
      <w:hyperlink r:id="rId10" w:history="1">
        <w:r>
          <w:rPr>
            <w:rFonts w:ascii="Calibri" w:hAnsi="Calibri"/>
          </w:rPr>
          <w:t>William Glenn Gray</w:t>
        </w:r>
      </w:hyperlink>
      <w:r>
        <w:rPr>
          <w:rFonts w:ascii="Calibri" w:hAnsi="Calibri"/>
        </w:rPr>
        <w:t xml:space="preserve">– zeigen, dass diese Flexibilität kein neues Phänomen </w:t>
      </w:r>
      <w:r>
        <w:rPr>
          <w:rFonts w:ascii="Calibri" w:hAnsi="Calibri"/>
        </w:rPr>
        <w:t>ist. Bereits in den 1970er Jahren nutzte die Bundesregierung gezielt Spielräume, um sicherheitspolitische Interessen durchzusetzen.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Ein prägnanter Fall ist Somalia: Nach der Befreiung der </w:t>
      </w:r>
      <w:hyperlink r:id="rId11" w:history="1">
        <w:r>
          <w:rPr>
            <w:rFonts w:ascii="Calibri" w:hAnsi="Calibri"/>
          </w:rPr>
          <w:t>Lufthansa-Maschine „Landshut“ 1977</w:t>
        </w:r>
      </w:hyperlink>
      <w:r>
        <w:rPr>
          <w:rFonts w:ascii="Calibri" w:hAnsi="Calibri"/>
        </w:rPr>
        <w:t xml:space="preserve"> unterstützte die Bundesregierung das Regime von Siad Barre finanziell – in einer Form, die bewusst offen genug gehalten war, um auch militärische Beschaffunge</w:t>
      </w:r>
      <w:r>
        <w:rPr>
          <w:rFonts w:ascii="Calibri" w:hAnsi="Calibri"/>
        </w:rPr>
        <w:t>n zu ermöglichen. Die Folgen dieser Politik wirkten weit über den Moment hinaus.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Der Einzelfall verweist auf ein Muster: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Politische Prinzipien bleiben bestehen – werden jedoch im konkreten Fall regelmäßig relativiert.</w:t>
      </w:r>
    </w:p>
    <w:p w:rsidR="003D6504" w:rsidRDefault="003D6504" w:rsidP="00EE6E8C">
      <w:pPr>
        <w:pStyle w:val="HorizontalLine"/>
        <w:rPr>
          <w:rFonts w:ascii="Calibri" w:hAnsi="Calibri"/>
          <w:sz w:val="24"/>
          <w:szCs w:val="24"/>
        </w:rPr>
      </w:pPr>
    </w:p>
    <w:p w:rsidR="003D6504" w:rsidRDefault="009B39FC" w:rsidP="00EE6E8C">
      <w:pPr>
        <w:pStyle w:val="berschrift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Die Infrastruktur hinter den Exporten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Diese Flexibilität ist kein Zufall. Sie wird institutionell abgesichert.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Ein zentrales Instrument sind staatliche Exportkreditgarantien (</w:t>
      </w:r>
      <w:hyperlink r:id="rId12" w:history="1">
        <w:r>
          <w:rPr>
            <w:rFonts w:ascii="Calibri" w:hAnsi="Calibri"/>
          </w:rPr>
          <w:t>Hermesdeckungen</w:t>
        </w:r>
      </w:hyperlink>
      <w:r>
        <w:rPr>
          <w:rFonts w:ascii="Calibri" w:hAnsi="Calibri"/>
        </w:rPr>
        <w:t>). Sie greifen dort, wo wirtschaftliche und politische Risiken hoch sind – und machen Geschäfte überhaupt erst möglic</w:t>
      </w:r>
      <w:r>
        <w:rPr>
          <w:rFonts w:ascii="Calibri" w:hAnsi="Calibri"/>
        </w:rPr>
        <w:t>h. Gerade Lieferungen in fragile oder konfliktreiche Regionen werden so kalkulierbar.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Ergänzt wird dies durch:</w:t>
      </w:r>
    </w:p>
    <w:p w:rsidR="003D6504" w:rsidRDefault="009B39FC" w:rsidP="00EE6E8C">
      <w:pPr>
        <w:pStyle w:val="Textbody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Genehmigungsverfahren, die formal restriktiv sind, aber politisch ausgelegt werden</w:t>
      </w:r>
    </w:p>
    <w:p w:rsidR="003D6504" w:rsidRDefault="009B39FC" w:rsidP="00EE6E8C">
      <w:pPr>
        <w:pStyle w:val="Textbody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>staatliche Absicherungen gegen Zahlungsausfälle</w:t>
      </w:r>
    </w:p>
    <w:p w:rsidR="003D6504" w:rsidRDefault="009B39FC" w:rsidP="00EE6E8C">
      <w:pPr>
        <w:pStyle w:val="Textbody"/>
        <w:numPr>
          <w:ilvl w:val="0"/>
          <w:numId w:val="1"/>
        </w:numPr>
        <w:spacing w:line="240" w:lineRule="auto"/>
        <w:rPr>
          <w:rFonts w:ascii="Calibri" w:hAnsi="Calibri"/>
        </w:rPr>
      </w:pPr>
      <w:hyperlink r:id="rId13" w:history="1">
        <w:r>
          <w:rPr>
            <w:rFonts w:ascii="Calibri" w:hAnsi="Calibri"/>
          </w:rPr>
          <w:t>öffentliche Förderung sicherheitsrelevanter Forschung und Entwicklung</w:t>
        </w:r>
      </w:hyperlink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Das Ergebnis ist eine k</w:t>
      </w:r>
      <w:r>
        <w:rPr>
          <w:rFonts w:ascii="Calibri" w:hAnsi="Calibri"/>
        </w:rPr>
        <w:t>lare Struktur: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Der Staat agiert gleichzeitig als</w:t>
      </w:r>
    </w:p>
    <w:p w:rsidR="003D6504" w:rsidRDefault="009B39FC" w:rsidP="00EE6E8C">
      <w:pPr>
        <w:pStyle w:val="Textbody"/>
        <w:numPr>
          <w:ilvl w:val="0"/>
          <w:numId w:val="2"/>
        </w:numPr>
        <w:spacing w:after="0" w:line="240" w:lineRule="auto"/>
        <w:rPr>
          <w:rFonts w:hint="eastAsia"/>
        </w:rPr>
      </w:pPr>
      <w:r>
        <w:rPr>
          <w:rStyle w:val="StrongEmphasis"/>
          <w:rFonts w:ascii="Calibri" w:hAnsi="Calibri"/>
          <w:b w:val="0"/>
          <w:bCs w:val="0"/>
        </w:rPr>
        <w:t>Regulierer</w:t>
      </w:r>
      <w:r>
        <w:rPr>
          <w:rFonts w:ascii="Calibri" w:hAnsi="Calibri"/>
        </w:rPr>
        <w:t>,</w:t>
      </w:r>
    </w:p>
    <w:p w:rsidR="003D6504" w:rsidRDefault="009B39FC" w:rsidP="00EE6E8C">
      <w:pPr>
        <w:pStyle w:val="Textbody"/>
        <w:numPr>
          <w:ilvl w:val="0"/>
          <w:numId w:val="2"/>
        </w:numPr>
        <w:spacing w:after="0" w:line="240" w:lineRule="auto"/>
        <w:rPr>
          <w:rFonts w:hint="eastAsia"/>
        </w:rPr>
      </w:pPr>
      <w:proofErr w:type="spellStart"/>
      <w:r>
        <w:rPr>
          <w:rStyle w:val="StrongEmphasis"/>
          <w:rFonts w:ascii="Calibri" w:hAnsi="Calibri"/>
          <w:b w:val="0"/>
          <w:bCs w:val="0"/>
        </w:rPr>
        <w:t>Finanzierer</w:t>
      </w:r>
      <w:proofErr w:type="spellEnd"/>
      <w:r>
        <w:rPr>
          <w:rFonts w:ascii="Calibri" w:hAnsi="Calibri"/>
        </w:rPr>
        <w:t>,</w:t>
      </w:r>
    </w:p>
    <w:p w:rsidR="003D6504" w:rsidRDefault="009B39FC" w:rsidP="00EE6E8C">
      <w:pPr>
        <w:pStyle w:val="Textbody"/>
        <w:numPr>
          <w:ilvl w:val="0"/>
          <w:numId w:val="2"/>
        </w:numPr>
        <w:spacing w:line="240" w:lineRule="auto"/>
        <w:rPr>
          <w:rFonts w:hint="eastAsia"/>
        </w:rPr>
      </w:pPr>
      <w:proofErr w:type="spellStart"/>
      <w:r>
        <w:rPr>
          <w:rStyle w:val="StrongEmphasis"/>
          <w:rFonts w:ascii="Calibri" w:hAnsi="Calibri"/>
          <w:b w:val="0"/>
          <w:bCs w:val="0"/>
        </w:rPr>
        <w:t>Absicherer</w:t>
      </w:r>
      <w:proofErr w:type="spellEnd"/>
      <w:r>
        <w:rPr>
          <w:rFonts w:ascii="Calibri" w:hAnsi="Calibri"/>
        </w:rPr>
        <w:br/>
      </w:r>
      <w:r>
        <w:rPr>
          <w:rFonts w:ascii="Calibri" w:hAnsi="Calibri"/>
        </w:rPr>
        <w:t xml:space="preserve">– und indirekt auch als </w:t>
      </w:r>
      <w:hyperlink r:id="rId14" w:history="1">
        <w:proofErr w:type="spellStart"/>
        <w:r>
          <w:rPr>
            <w:rStyle w:val="StrongEmphasis"/>
            <w:rFonts w:ascii="Calibri" w:hAnsi="Calibri"/>
            <w:b w:val="0"/>
            <w:bCs w:val="0"/>
          </w:rPr>
          <w:t>Ermöglicher</w:t>
        </w:r>
        <w:proofErr w:type="spellEnd"/>
      </w:hyperlink>
      <w:r>
        <w:rPr>
          <w:rFonts w:ascii="Calibri" w:hAnsi="Calibri"/>
        </w:rPr>
        <w:t xml:space="preserve"> von </w:t>
      </w:r>
      <w:hyperlink r:id="rId15" w:history="1">
        <w:r>
          <w:rPr>
            <w:rFonts w:ascii="Calibri" w:hAnsi="Calibri"/>
          </w:rPr>
          <w:t>Exporten</w:t>
        </w:r>
      </w:hyperlink>
      <w:r>
        <w:rPr>
          <w:rFonts w:ascii="Calibri" w:hAnsi="Calibri"/>
        </w:rPr>
        <w:t>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Rüstungsexporte erscheinen damit nicht als Randphänomen wirtschaftlicher Aktivität, sondern als</w:t>
      </w:r>
      <w:r>
        <w:rPr>
          <w:rFonts w:ascii="Calibri" w:hAnsi="Calibri"/>
        </w:rPr>
        <w:t xml:space="preserve"> integraler Bestandteil staatlicher Ordnungspolitik und heutzutage sogar als „</w:t>
      </w:r>
      <w:hyperlink r:id="rId16" w:history="1">
        <w:r>
          <w:rPr>
            <w:rFonts w:ascii="Calibri" w:hAnsi="Calibri"/>
          </w:rPr>
          <w:t>Wirtschaftsmotor</w:t>
        </w:r>
      </w:hyperlink>
      <w:r>
        <w:rPr>
          <w:rFonts w:ascii="Calibri" w:hAnsi="Calibri"/>
        </w:rPr>
        <w:t>“.</w:t>
      </w:r>
    </w:p>
    <w:p w:rsidR="003D6504" w:rsidRDefault="003D6504" w:rsidP="00EE6E8C">
      <w:pPr>
        <w:pStyle w:val="HorizontalLine"/>
        <w:rPr>
          <w:rFonts w:ascii="Calibri" w:hAnsi="Calibri"/>
          <w:sz w:val="24"/>
          <w:szCs w:val="24"/>
        </w:rPr>
      </w:pPr>
    </w:p>
    <w:p w:rsidR="003D6504" w:rsidRDefault="009B39FC" w:rsidP="00EE6E8C">
      <w:pPr>
        <w:pStyle w:val="berschrift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Langfristige Effekte: Infrastruktur der Gewalt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Besonders weitreichend sind Entscheidungen dor</w:t>
      </w:r>
      <w:r>
        <w:rPr>
          <w:rFonts w:ascii="Calibri" w:hAnsi="Calibri"/>
        </w:rPr>
        <w:t>t, wo nicht nur Waffen geliefert, sondern Produktionskapazitäten aufgebaut wurden.</w:t>
      </w:r>
    </w:p>
    <w:p w:rsidR="003D6504" w:rsidRDefault="009B39FC" w:rsidP="00EE6E8C">
      <w:pPr>
        <w:pStyle w:val="Textbody"/>
        <w:spacing w:line="240" w:lineRule="auto"/>
        <w:rPr>
          <w:rFonts w:hint="eastAsia"/>
        </w:rPr>
      </w:pPr>
      <w:hyperlink r:id="rId17" w:history="1">
        <w:r>
          <w:rPr>
            <w:rFonts w:ascii="Calibri" w:hAnsi="Calibri"/>
          </w:rPr>
          <w:t xml:space="preserve">Im Iran entstand mit deutscher Beteiligung eine </w:t>
        </w:r>
        <w:r>
          <w:rPr>
            <w:rFonts w:ascii="Calibri" w:hAnsi="Calibri"/>
          </w:rPr>
          <w:t>eigenständige Rüstungsindustrie.</w:t>
        </w:r>
      </w:hyperlink>
      <w:r>
        <w:rPr>
          <w:rFonts w:ascii="Calibri" w:hAnsi="Calibri"/>
        </w:rPr>
        <w:t xml:space="preserve"> Deutsche Unternehmen lieferten nicht nur Produkte, sondern Know-how und ganze Fertigungsanlagen. Diese Infrastruktur überdauerte politische Umbrüche – einschließlich der Revolution von 1979 – und wirkt bis heute zu Gunsten </w:t>
      </w:r>
      <w:r>
        <w:rPr>
          <w:rFonts w:ascii="Calibri" w:hAnsi="Calibri"/>
        </w:rPr>
        <w:t>der Mullahs fort.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Ähnliche Dynamiken zeigen sich auch in anderen Kontexten:</w:t>
      </w:r>
    </w:p>
    <w:p w:rsidR="003D6504" w:rsidRDefault="009B39FC" w:rsidP="00EE6E8C">
      <w:pPr>
        <w:pStyle w:val="Textbody"/>
        <w:numPr>
          <w:ilvl w:val="0"/>
          <w:numId w:val="3"/>
        </w:numPr>
        <w:spacing w:after="0" w:line="240" w:lineRule="auto"/>
        <w:rPr>
          <w:rFonts w:hint="eastAsia"/>
        </w:rPr>
      </w:pPr>
      <w:r>
        <w:rPr>
          <w:rFonts w:ascii="Calibri" w:hAnsi="Calibri"/>
        </w:rPr>
        <w:t xml:space="preserve">im </w:t>
      </w:r>
      <w:hyperlink r:id="rId18" w:history="1">
        <w:r>
          <w:rPr>
            <w:rFonts w:ascii="Calibri" w:hAnsi="Calibri"/>
          </w:rPr>
          <w:t>Sudan</w:t>
        </w:r>
      </w:hyperlink>
      <w:r w:rsidR="006A7B1A">
        <w:rPr>
          <w:rFonts w:ascii="Calibri" w:hAnsi="Calibri"/>
        </w:rPr>
        <w:t>, wo militärisch-</w:t>
      </w:r>
      <w:r>
        <w:rPr>
          <w:rFonts w:ascii="Calibri" w:hAnsi="Calibri"/>
        </w:rPr>
        <w:t>industrielle Strukturen trotz politischer Instabilität aufgebaut wurden</w:t>
      </w:r>
    </w:p>
    <w:p w:rsidR="003D6504" w:rsidRDefault="009B39FC" w:rsidP="00EE6E8C">
      <w:pPr>
        <w:pStyle w:val="Textbody"/>
        <w:numPr>
          <w:ilvl w:val="0"/>
          <w:numId w:val="3"/>
        </w:numPr>
        <w:spacing w:line="240" w:lineRule="auto"/>
        <w:rPr>
          <w:rFonts w:hint="eastAsia"/>
        </w:rPr>
      </w:pPr>
      <w:r>
        <w:rPr>
          <w:rFonts w:ascii="Calibri" w:hAnsi="Calibri"/>
        </w:rPr>
        <w:t xml:space="preserve">in </w:t>
      </w:r>
      <w:hyperlink r:id="rId19" w:history="1">
        <w:r>
          <w:rPr>
            <w:rFonts w:ascii="Calibri" w:hAnsi="Calibri"/>
          </w:rPr>
          <w:t>Myanmar</w:t>
        </w:r>
      </w:hyperlink>
      <w:r>
        <w:rPr>
          <w:rFonts w:ascii="Calibri" w:hAnsi="Calibri"/>
        </w:rPr>
        <w:t>, wo humanitäres Engagement und sicherheitsrelevante Unterstützung historisch nebeneinander stehen</w:t>
      </w:r>
    </w:p>
    <w:p w:rsidR="003D6504" w:rsidRDefault="009B39FC" w:rsidP="00EE6E8C">
      <w:pPr>
        <w:pStyle w:val="Textbody"/>
        <w:spacing w:line="240" w:lineRule="auto"/>
        <w:rPr>
          <w:rFonts w:hint="eastAsia"/>
        </w:rPr>
      </w:pPr>
      <w:r>
        <w:rPr>
          <w:rFonts w:ascii="Calibri" w:hAnsi="Calibri"/>
        </w:rPr>
        <w:t xml:space="preserve">Gerade </w:t>
      </w:r>
      <w:hyperlink r:id="rId20" w:history="1">
        <w:r>
          <w:rPr>
            <w:rFonts w:ascii="Calibri" w:hAnsi="Calibri"/>
          </w:rPr>
          <w:t>Kleinwaffen</w:t>
        </w:r>
      </w:hyperlink>
      <w:r>
        <w:rPr>
          <w:rFonts w:ascii="Calibri" w:hAnsi="Calibri"/>
        </w:rPr>
        <w:t xml:space="preserve"> spielen hier eine zentrale Rolle. Sie sind das Rückgrat vieler innerstaatlicher Gewaltkonstellationen – dauerhaft verfügbar,</w:t>
      </w:r>
      <w:r>
        <w:rPr>
          <w:rFonts w:ascii="Calibri" w:hAnsi="Calibri"/>
        </w:rPr>
        <w:t xml:space="preserve"> leicht einsetzbar und schwer zu kontrollieren.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Der entscheidende Punkt:</w:t>
      </w:r>
    </w:p>
    <w:p w:rsidR="003D6504" w:rsidRDefault="009B39FC" w:rsidP="00EE6E8C">
      <w:pPr>
        <w:pStyle w:val="Textbody"/>
        <w:spacing w:line="240" w:lineRule="auto"/>
        <w:rPr>
          <w:rFonts w:hint="eastAsia"/>
        </w:rPr>
      </w:pPr>
      <w:r>
        <w:rPr>
          <w:rFonts w:ascii="Calibri" w:hAnsi="Calibri"/>
        </w:rPr>
        <w:t xml:space="preserve">Die Wirkung endet nicht mit der </w:t>
      </w:r>
      <w:hyperlink r:id="rId21" w:history="1">
        <w:r>
          <w:rPr>
            <w:rFonts w:ascii="Calibri" w:hAnsi="Calibri"/>
          </w:rPr>
          <w:t>Exportgenehmigung</w:t>
        </w:r>
      </w:hyperlink>
      <w:r>
        <w:rPr>
          <w:rFonts w:ascii="Calibri" w:hAnsi="Calibri"/>
        </w:rPr>
        <w:t>.</w:t>
      </w:r>
      <w:r>
        <w:rPr>
          <w:rFonts w:ascii="Calibri" w:hAnsi="Calibri"/>
        </w:rPr>
        <w:br/>
      </w:r>
      <w:r>
        <w:rPr>
          <w:rFonts w:ascii="Calibri" w:hAnsi="Calibri"/>
        </w:rPr>
        <w:t>Sie beginnt dort.</w:t>
      </w:r>
    </w:p>
    <w:p w:rsidR="003D6504" w:rsidRDefault="003D6504" w:rsidP="00EE6E8C">
      <w:pPr>
        <w:pStyle w:val="HorizontalLine"/>
        <w:rPr>
          <w:rFonts w:ascii="Calibri" w:hAnsi="Calibri"/>
          <w:sz w:val="24"/>
          <w:szCs w:val="24"/>
        </w:rPr>
      </w:pPr>
    </w:p>
    <w:p w:rsidR="003D6504" w:rsidRDefault="009B39FC" w:rsidP="00EE6E8C">
      <w:pPr>
        <w:pStyle w:val="berschrift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Wissen ist vorhanden – verändert es Perspektiven</w:t>
      </w:r>
      <w:r>
        <w:rPr>
          <w:rFonts w:ascii="Calibri" w:hAnsi="Calibri"/>
          <w:sz w:val="24"/>
          <w:szCs w:val="24"/>
        </w:rPr>
        <w:t>?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Diese Zusammenhänge sind heute kein verborgenes Spezialwissen mehr.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Digitale Archive, offene Daten und investigative Recherchen machen politische Entscheidungen und ihre Folgen global zugänglich. Besonders im Globalen Süden entsteht daraus eine neue Form</w:t>
      </w:r>
      <w:r>
        <w:rPr>
          <w:rFonts w:ascii="Calibri" w:hAnsi="Calibri"/>
        </w:rPr>
        <w:t xml:space="preserve"> der Analyse: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Ein Gesamtbild, das nicht zwischen Entwicklungszusammenarbeit und Sicherheitsinteressen trennt, sondern beides zusammendenkt.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Die Fragen, die daraus entstehen, sind grundlegend:</w:t>
      </w:r>
    </w:p>
    <w:p w:rsidR="003D6504" w:rsidRDefault="009B39FC" w:rsidP="00EE6E8C">
      <w:pPr>
        <w:pStyle w:val="Textbody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Wie kohärent ist eine Politik, die Frieden fördert und gleichzei</w:t>
      </w:r>
      <w:r>
        <w:rPr>
          <w:rFonts w:ascii="Calibri" w:hAnsi="Calibri"/>
        </w:rPr>
        <w:t>tig Gewaltkapazitäten ermöglicht?</w:t>
      </w:r>
    </w:p>
    <w:p w:rsidR="003D6504" w:rsidRDefault="009B39FC" w:rsidP="00EE6E8C">
      <w:pPr>
        <w:pStyle w:val="Textbody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>Wer trägt Verantwortung für langfristige Folgen?</w:t>
      </w:r>
    </w:p>
    <w:p w:rsidR="003D6504" w:rsidRDefault="009B39FC" w:rsidP="00EE6E8C">
      <w:pPr>
        <w:pStyle w:val="Textbody"/>
        <w:numPr>
          <w:ilvl w:val="0"/>
          <w:numId w:val="4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Und warum werden diese Zusammenhänge politisch so selten im Globalen Norden thematisiert?</w:t>
      </w:r>
    </w:p>
    <w:p w:rsidR="003D6504" w:rsidRDefault="003D6504" w:rsidP="00EE6E8C">
      <w:pPr>
        <w:pStyle w:val="HorizontalLine"/>
        <w:rPr>
          <w:rFonts w:ascii="Calibri" w:hAnsi="Calibri"/>
          <w:sz w:val="24"/>
          <w:szCs w:val="24"/>
        </w:rPr>
      </w:pPr>
    </w:p>
    <w:p w:rsidR="003D6504" w:rsidRDefault="009B39FC" w:rsidP="00EE6E8C">
      <w:pPr>
        <w:pStyle w:val="berschrift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Schweigen als Struktur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Innerhalb der Friedensarbeit selbst bleibt dieser Kontex</w:t>
      </w:r>
      <w:r>
        <w:rPr>
          <w:rFonts w:ascii="Calibri" w:hAnsi="Calibri"/>
        </w:rPr>
        <w:t>t oft unausgesprochen.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Das hat Gründe.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Programme wie der Zivile Friedensdienst sind auf lokale Partner angewiesen. Diese kennen die politischen Rahmenbedingungen meist sehr genau. Dass sie kritische Punkte selten offen ansprechen, ist kein Ausdruck von Zus</w:t>
      </w:r>
      <w:r>
        <w:rPr>
          <w:rFonts w:ascii="Calibri" w:hAnsi="Calibri"/>
        </w:rPr>
        <w:t>timmung – sondern häufig Ergebnis struktureller Abhängigkeiten.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Es ist ein Schweigen unter Bedingungen. Der Widerspruch wird nicht gelöst, sondern pragmatisch ausgehalten.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Deutlicher artikuliert wird er an anderer Stelle: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in </w:t>
      </w:r>
      <w:proofErr w:type="spellStart"/>
      <w:r>
        <w:rPr>
          <w:rFonts w:ascii="Calibri" w:hAnsi="Calibri"/>
        </w:rPr>
        <w:t>migrantischen</w:t>
      </w:r>
      <w:proofErr w:type="spellEnd"/>
      <w:r>
        <w:rPr>
          <w:rFonts w:ascii="Calibri" w:hAnsi="Calibri"/>
        </w:rPr>
        <w:t xml:space="preserve"> Netzwerken und tr</w:t>
      </w:r>
      <w:r>
        <w:rPr>
          <w:rFonts w:ascii="Calibri" w:hAnsi="Calibri"/>
        </w:rPr>
        <w:t xml:space="preserve">ansnationalen </w:t>
      </w:r>
      <w:proofErr w:type="spellStart"/>
      <w:r>
        <w:rPr>
          <w:rFonts w:ascii="Calibri" w:hAnsi="Calibri"/>
        </w:rPr>
        <w:t>Akteursgruppen</w:t>
      </w:r>
      <w:proofErr w:type="spellEnd"/>
      <w:r>
        <w:rPr>
          <w:rFonts w:ascii="Calibri" w:hAnsi="Calibri"/>
        </w:rPr>
        <w:t>, die zwischen Deutschland und den Einsatzkontexten vermitteln.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Dort ist die Gleichzeitigkeit von Friedensförderung und struktureller Gewaltermöglichung keine theoretische Frage – sondern Alltagserfahrung.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Diese Perspektiven feh</w:t>
      </w:r>
      <w:r>
        <w:rPr>
          <w:rFonts w:ascii="Calibri" w:hAnsi="Calibri"/>
        </w:rPr>
        <w:t>len bislang weitgehend im offiziellen und friedenspolitischen Diskurs</w:t>
      </w:r>
      <w:r w:rsidR="00E833C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hierzulande.</w:t>
      </w:r>
    </w:p>
    <w:p w:rsidR="003D6504" w:rsidRDefault="003D6504" w:rsidP="00EE6E8C">
      <w:pPr>
        <w:pStyle w:val="HorizontalLine"/>
        <w:rPr>
          <w:rFonts w:ascii="Calibri" w:hAnsi="Calibri"/>
          <w:sz w:val="24"/>
          <w:szCs w:val="24"/>
        </w:rPr>
      </w:pPr>
    </w:p>
    <w:p w:rsidR="003D6504" w:rsidRDefault="009B39FC" w:rsidP="00EE6E8C">
      <w:pPr>
        <w:pStyle w:val="berschrift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Die eigentliche Herausforderung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Friedensarbeit wird nicht nur an ihrer operativen Qualität gemessen.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Sie wird an der Glaubwürdigkeit der politischen Ordnung gemessen, die </w:t>
      </w:r>
      <w:r>
        <w:rPr>
          <w:rFonts w:ascii="Calibri" w:hAnsi="Calibri"/>
        </w:rPr>
        <w:t>sie trägt.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Wer Konflikte bearbeiten will, muss die eigene Rolle darin reflektieren.</w:t>
      </w:r>
      <w:r>
        <w:rPr>
          <w:rFonts w:ascii="Calibri" w:hAnsi="Calibri"/>
        </w:rPr>
        <w:br/>
      </w:r>
      <w:r>
        <w:rPr>
          <w:rFonts w:ascii="Calibri" w:hAnsi="Calibri"/>
        </w:rPr>
        <w:t>Nicht als moralische Geste – sondern als analytische Notwendigkeit.</w:t>
      </w:r>
    </w:p>
    <w:p w:rsidR="003D6504" w:rsidRDefault="009B39FC" w:rsidP="00EE6E8C">
      <w:pPr>
        <w:pStyle w:val="Textbody"/>
        <w:spacing w:line="240" w:lineRule="auto"/>
        <w:rPr>
          <w:rFonts w:hint="eastAsia"/>
        </w:rPr>
      </w:pPr>
      <w:r>
        <w:rPr>
          <w:rFonts w:ascii="Calibri" w:hAnsi="Calibri"/>
        </w:rPr>
        <w:t xml:space="preserve">Die zentrale Frage lautet daher nicht: </w:t>
      </w:r>
      <w:r>
        <w:rPr>
          <w:rStyle w:val="Hervorhebung"/>
          <w:rFonts w:ascii="Calibri" w:hAnsi="Calibri"/>
        </w:rPr>
        <w:t>Ob</w:t>
      </w:r>
      <w:r>
        <w:rPr>
          <w:rFonts w:ascii="Calibri" w:hAnsi="Calibri"/>
        </w:rPr>
        <w:t xml:space="preserve"> Deutschland Friedensarbeit leistet.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Sondern: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Warum existiert e</w:t>
      </w:r>
      <w:r>
        <w:rPr>
          <w:rFonts w:ascii="Calibri" w:hAnsi="Calibri"/>
        </w:rPr>
        <w:t>ine hochentwickelte strategische Vorausschau für wirtschaftliche und geopolitische Interessen – (z. B. bei seltenen Erden)</w:t>
      </w:r>
      <w:r>
        <w:rPr>
          <w:rFonts w:ascii="Calibri" w:hAnsi="Calibri"/>
        </w:rPr>
        <w:br/>
      </w:r>
      <w:r>
        <w:rPr>
          <w:rFonts w:ascii="Calibri" w:hAnsi="Calibri"/>
        </w:rPr>
        <w:t>aber eine vergleichsweise geringe systematische Auseinandersetzung mit den Langzeitfolgen rüstungspolitischer Entscheidungen?</w:t>
      </w:r>
    </w:p>
    <w:p w:rsidR="003D6504" w:rsidRDefault="003D6504" w:rsidP="00EE6E8C">
      <w:pPr>
        <w:pStyle w:val="HorizontalLine"/>
        <w:rPr>
          <w:rFonts w:ascii="Calibri" w:hAnsi="Calibri"/>
          <w:sz w:val="24"/>
          <w:szCs w:val="24"/>
        </w:rPr>
      </w:pPr>
    </w:p>
    <w:p w:rsidR="003D6504" w:rsidRDefault="009B39FC" w:rsidP="00EE6E8C">
      <w:pPr>
        <w:pStyle w:val="berschrift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Sichtbarkeit statt Verdrängung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Eine konsistente Außenpolitik muss diesen Widerspruch nicht vollständig auflösen.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Aber sie muss ihn sichtbar machen. Alles andere bleibt unvollständig.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Bis dahin gilt: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>Der Zivile Friedensdienst ist ein starkes Instrument.</w:t>
      </w:r>
      <w:r>
        <w:rPr>
          <w:rFonts w:ascii="Calibri" w:hAnsi="Calibri"/>
        </w:rPr>
        <w:br/>
      </w:r>
      <w:r>
        <w:rPr>
          <w:rFonts w:ascii="Calibri" w:hAnsi="Calibri"/>
        </w:rPr>
        <w:t>Aber er operiert innerhalb eines Systems, dessen andere Wirkungen er gleichzeitig zu bearbeiten versucht.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Das ist keine Bagatelle.</w:t>
      </w:r>
    </w:p>
    <w:p w:rsidR="003D6504" w:rsidRDefault="009B39FC" w:rsidP="00EE6E8C">
      <w:pPr>
        <w:pStyle w:val="Textbody"/>
        <w:spacing w:line="240" w:lineRule="auto"/>
        <w:rPr>
          <w:rFonts w:ascii="Calibri" w:hAnsi="Calibri"/>
        </w:rPr>
      </w:pPr>
      <w:r>
        <w:rPr>
          <w:rFonts w:ascii="Calibri" w:hAnsi="Calibri"/>
        </w:rPr>
        <w:t>Es ist der Kern der Frage nach politischer Glaubwürdigkeit.</w:t>
      </w:r>
      <w:r>
        <w:rPr>
          <w:rFonts w:ascii="Calibri" w:hAnsi="Calibri"/>
        </w:rPr>
        <w:br/>
      </w:r>
      <w:r>
        <w:rPr>
          <w:rFonts w:ascii="Calibri" w:hAnsi="Calibri"/>
        </w:rPr>
        <w:t>Bis dahin bleibt der ZFD</w:t>
      </w:r>
      <w:r>
        <w:rPr>
          <w:rFonts w:ascii="Calibri" w:hAnsi="Calibri"/>
        </w:rPr>
        <w:t xml:space="preserve"> bei aller Stärke, was er ist:</w:t>
      </w:r>
      <w:r>
        <w:rPr>
          <w:rFonts w:ascii="Calibri" w:hAnsi="Calibri"/>
        </w:rPr>
        <w:br/>
      </w:r>
      <w:r>
        <w:rPr>
          <w:rFonts w:ascii="Calibri" w:hAnsi="Calibri"/>
        </w:rPr>
        <w:t>ein bemer</w:t>
      </w:r>
      <w:r>
        <w:rPr>
          <w:rFonts w:ascii="Calibri" w:hAnsi="Calibri"/>
        </w:rPr>
        <w:t>kenswertes Instrument – finanziert aus denselben Strukturen, deren Folgen er zu bearbeiten versucht.</w:t>
      </w:r>
    </w:p>
    <w:p w:rsidR="003D6504" w:rsidRDefault="003D6504" w:rsidP="00EE6E8C">
      <w:pPr>
        <w:rPr>
          <w:rFonts w:ascii="Calibri" w:hAnsi="Calibri"/>
        </w:rPr>
      </w:pPr>
    </w:p>
    <w:sectPr w:rsidR="003D6504" w:rsidSect="00EE6E8C">
      <w:headerReference w:type="default" r:id="rId22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FC" w:rsidRDefault="009B39FC">
      <w:pPr>
        <w:rPr>
          <w:rFonts w:hint="eastAsia"/>
        </w:rPr>
      </w:pPr>
      <w:r>
        <w:separator/>
      </w:r>
    </w:p>
  </w:endnote>
  <w:endnote w:type="continuationSeparator" w:id="0">
    <w:p w:rsidR="009B39FC" w:rsidRDefault="009B39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FC" w:rsidRDefault="009B39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B39FC" w:rsidRDefault="009B39FC">
      <w:pPr>
        <w:rPr>
          <w:rFonts w:hint="eastAsia"/>
        </w:rPr>
      </w:pPr>
      <w:r>
        <w:continuationSeparator/>
      </w:r>
    </w:p>
  </w:footnote>
  <w:footnote w:id="1">
    <w:p w:rsidR="003D6504" w:rsidRDefault="009B39FC">
      <w:pPr>
        <w:pStyle w:val="Footnote"/>
        <w:rPr>
          <w:rFonts w:hint="eastAsia"/>
          <w:sz w:val="16"/>
          <w:szCs w:val="16"/>
        </w:rPr>
      </w:pPr>
      <w:r>
        <w:rPr>
          <w:rStyle w:val="Funotenzeichen"/>
        </w:rPr>
        <w:footnoteRef/>
      </w:r>
      <w:r w:rsidRPr="006A7B1A">
        <w:rPr>
          <w:sz w:val="18"/>
          <w:szCs w:val="18"/>
        </w:rPr>
        <w:t>Der Autor äußert hier seine persönliche Meinung und nicht</w:t>
      </w:r>
      <w:r w:rsidRPr="006A7B1A">
        <w:rPr>
          <w:sz w:val="18"/>
          <w:szCs w:val="18"/>
        </w:rPr>
        <w:t xml:space="preserve"> die Positionen von Organisationen oder Gremien, denen er angehört.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77" w:rsidRDefault="009B39FC">
    <w:pPr>
      <w:pStyle w:val="Kopfzeile"/>
      <w:rPr>
        <w:rFonts w:hint="eastAsia"/>
      </w:rPr>
    </w:pPr>
    <w:r>
      <w:tab/>
    </w:r>
    <w:r>
      <w:tab/>
    </w: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EE6E8C">
      <w:rPr>
        <w:rFonts w:hint="eastAsia"/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083"/>
    <w:multiLevelType w:val="multilevel"/>
    <w:tmpl w:val="F182C87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1B291BDF"/>
    <w:multiLevelType w:val="multilevel"/>
    <w:tmpl w:val="CA64DCC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22FF5888"/>
    <w:multiLevelType w:val="multilevel"/>
    <w:tmpl w:val="4424A63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4B6077A6"/>
    <w:multiLevelType w:val="multilevel"/>
    <w:tmpl w:val="D718500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6504"/>
    <w:rsid w:val="003D6504"/>
    <w:rsid w:val="006A7B1A"/>
    <w:rsid w:val="009B39FC"/>
    <w:rsid w:val="00E833C3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berschrift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berschrift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z.de/de/themen/ziviler-friedensdienst" TargetMode="External"/><Relationship Id="rId13" Type="http://schemas.openxmlformats.org/officeDocument/2006/relationships/hyperlink" Target="https://www.fraunhofer.de/content/dam/zv/de/ueber-fraunhofer/wissenschaftspolitik/btw2025/FhG_Positionspapier_Bundestagswahl%202025_Verteidigungsforschung.pdf" TargetMode="External"/><Relationship Id="rId18" Type="http://schemas.openxmlformats.org/officeDocument/2006/relationships/hyperlink" Target="https://www.blaetter.de/autoren/roman-decker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dsv.eu/themen/exportkontroll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undeswirtschaftsministerium.de/Redaktion/DE/Artikel/Aussenwirtschaft/exportkreditgarantien.html" TargetMode="External"/><Relationship Id="rId17" Type="http://schemas.openxmlformats.org/officeDocument/2006/relationships/hyperlink" Target="https://www.spiegel.de/politik/waffenhandel-abkommen-gilt-als-geheim-a-5c01a117-0002-0001-0000-0000135223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k.euroforum.de/data/pdf/P1201177.pdf" TargetMode="External"/><Relationship Id="rId20" Type="http://schemas.openxmlformats.org/officeDocument/2006/relationships/hyperlink" Target="https://www.academia.edu/74882559/Die_grenzenlose_Verbreitung_von_Klein_und_Leichtwaffen_Argumente_f&#252;r_eine_restriktive_deutsche_R&#252;stungsexport_politi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1.wdr.de/radio/wdr5/sendungen/zeitzeichen/zeitzeichen-entfuehrung-lufthansa-maschine-landshut-100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wo.de/politik/deutschland/iran-krieg-deutschland-erleichtert-ruestungsexporte-an-golfstaaten-und-ukraine/100210233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ng.com/ck/a?!&amp;&amp;p=ec547a168faa6eeb99c7698d3195feb976f588404808d13260a592a9ee24b0caJmltdHM9MTc3NDMxMDQwMA&amp;ptn=3&amp;ver=2&amp;hsh=4&amp;fclid=01dfb0bb-9d79-631d-0118-a6449c9b62bc&amp;psq=Gray%2C+William+Glenn.+%22Waffen+aus+Deutschland%3F+Bundestag%2C+R&#252;stungshilfe+und+Waffenexport+1961+bis+1975.%22+Vierteljahreshefte+f&#252;r+Zeitgeschichte+64%2C+no.+2+(April+2016)&amp;u=a1aHR0cHM6Ly93d3cuYWNhZGVtaWEuZWR1LzMzNTM3NDk4L1dhZmZlbl9hdXNfRGV1dHNjaGxhbmRfQnVuZGVzdGFnX1IlQzMlQkNzdHVuZ3NoaWxmZV91bmRfV2FmZmVuZXhwb3J0XzE5NjFfYmlzXzE5NzU" TargetMode="External"/><Relationship Id="rId19" Type="http://schemas.openxmlformats.org/officeDocument/2006/relationships/hyperlink" Target="https://thediplomat.com/2025/06/the-german-connection-in-myanmars-civil-wa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ndeswirtschaftsministerium.de/Redaktion/DE/Downloads/P-R/politische-grundsaetze-fuer-den-export-von-kriegswaffen-und-sonstigen-ruestungsguetern.pdf?__blob=publicationFile&amp;v=1" TargetMode="External"/><Relationship Id="rId14" Type="http://schemas.openxmlformats.org/officeDocument/2006/relationships/hyperlink" Target="https://www.ldz.de/news/politik/linke-und-gruene-empoert-ueber-merz-ruestungsplaene-mit-golfstaaten-71125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1229</Words>
  <Characters>7745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Steuer</dc:creator>
  <cp:lastModifiedBy>Wolfgang Steuer</cp:lastModifiedBy>
  <cp:revision>3</cp:revision>
  <cp:lastPrinted>2026-05-16T22:02:00Z</cp:lastPrinted>
  <dcterms:created xsi:type="dcterms:W3CDTF">2026-03-24T09:46:00Z</dcterms:created>
  <dcterms:modified xsi:type="dcterms:W3CDTF">2026-05-23T10:20:00Z</dcterms:modified>
</cp:coreProperties>
</file>